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9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6237"/>
      </w:tblGrid>
      <w:tr w14:paraId="32FE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03DD7FCC">
            <w:pPr>
              <w:pStyle w:val="9"/>
              <w:spacing w:before="0" w:after="0"/>
              <w:contextualSpacing/>
              <w:rPr>
                <w:b/>
                <w:lang w:val="uk-UA"/>
              </w:rPr>
            </w:pPr>
            <w:r>
              <w:rPr>
                <w:lang w:val="uk-UA"/>
              </w:rPr>
              <w:t xml:space="preserve">  найменування</w:t>
            </w:r>
            <w:r>
              <w:rPr>
                <w:lang w:val="en-US"/>
              </w:rPr>
              <w:t xml:space="preserve"> замовника</w:t>
            </w:r>
          </w:p>
        </w:tc>
        <w:tc>
          <w:tcPr>
            <w:tcW w:w="6237" w:type="dxa"/>
            <w:vAlign w:val="center"/>
          </w:tcPr>
          <w:p w14:paraId="296D1BB1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Володимирецький ліцей №2 </w:t>
            </w:r>
          </w:p>
          <w:p w14:paraId="64EF7B06">
            <w:pPr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Володимирецької  селищної ради </w:t>
            </w:r>
          </w:p>
        </w:tc>
      </w:tr>
      <w:tr w14:paraId="5031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261" w:type="dxa"/>
            <w:vAlign w:val="center"/>
          </w:tcPr>
          <w:p w14:paraId="3B685FB8">
            <w:pPr>
              <w:pStyle w:val="9"/>
              <w:spacing w:before="0" w:after="0"/>
              <w:contextualSpacing/>
              <w:rPr>
                <w:b/>
                <w:lang w:val="uk-UA"/>
              </w:rPr>
            </w:pPr>
            <w:r>
              <w:rPr>
                <w:lang w:val="uk-UA"/>
              </w:rPr>
              <w:t xml:space="preserve">  місце знаходження замовника</w:t>
            </w:r>
          </w:p>
        </w:tc>
        <w:tc>
          <w:tcPr>
            <w:tcW w:w="6237" w:type="dxa"/>
            <w:vAlign w:val="center"/>
          </w:tcPr>
          <w:p w14:paraId="66BBADA3">
            <w:pPr>
              <w:rPr>
                <w:iCs/>
                <w:sz w:val="22"/>
                <w:szCs w:val="22"/>
                <w:lang w:val="uk-UA"/>
              </w:rPr>
            </w:pPr>
            <w:r>
              <w:rPr>
                <w:rStyle w:val="18"/>
                <w:sz w:val="22"/>
                <w:szCs w:val="22"/>
                <w:lang w:val="uk-UA"/>
              </w:rPr>
              <w:t>34300, Рівненська область,  Вараський район, селище Володимирець,  вулиця Годунка Тараса,</w:t>
            </w:r>
            <w:r>
              <w:rPr>
                <w:rStyle w:val="18"/>
                <w:rFonts w:hint="default"/>
                <w:sz w:val="22"/>
                <w:szCs w:val="22"/>
                <w:lang w:val="uk-UA"/>
              </w:rPr>
              <w:t xml:space="preserve"> </w:t>
            </w:r>
            <w:r>
              <w:rPr>
                <w:rStyle w:val="18"/>
                <w:sz w:val="22"/>
                <w:szCs w:val="22"/>
                <w:lang w:val="uk-UA"/>
              </w:rPr>
              <w:t>будинок 2</w:t>
            </w:r>
          </w:p>
        </w:tc>
      </w:tr>
      <w:tr w14:paraId="5012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1D3FE709">
            <w:pPr>
              <w:pStyle w:val="9"/>
              <w:spacing w:before="0" w:after="0"/>
              <w:contextualSpacing/>
              <w:rPr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>
              <w:rPr>
                <w:lang w:val="uk-UA"/>
              </w:rPr>
              <w:t>ідентифікаційний код замовника в Єдиному державному реєстрі юридичних осіб – підприємців та громадських формувань</w:t>
            </w:r>
          </w:p>
        </w:tc>
        <w:tc>
          <w:tcPr>
            <w:tcW w:w="6237" w:type="dxa"/>
            <w:vAlign w:val="center"/>
          </w:tcPr>
          <w:p w14:paraId="6DFB1144">
            <w:pPr>
              <w:ind w:firstLine="120" w:firstLineChars="50"/>
              <w:jc w:val="both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lang w:val="uk-UA"/>
              </w:rPr>
              <w:t>04590754</w:t>
            </w:r>
          </w:p>
        </w:tc>
      </w:tr>
      <w:tr w14:paraId="50E2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4BB3FF77">
            <w:pPr>
              <w:pStyle w:val="9"/>
              <w:spacing w:before="0" w:after="0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 категорія замовника</w:t>
            </w:r>
          </w:p>
        </w:tc>
        <w:tc>
          <w:tcPr>
            <w:tcW w:w="6237" w:type="dxa"/>
            <w:vAlign w:val="center"/>
          </w:tcPr>
          <w:p w14:paraId="2FE75696">
            <w:pPr>
              <w:pStyle w:val="9"/>
              <w:spacing w:before="0" w:after="0"/>
              <w:ind w:right="100"/>
              <w:contextualSpacing/>
              <w:jc w:val="both"/>
              <w:rPr>
                <w:rFonts w:hint="default"/>
                <w:lang w:val="uk-UA"/>
              </w:rPr>
            </w:pPr>
            <w:r>
              <w:rPr>
                <w:lang w:val="uk-UA"/>
              </w:rPr>
              <w:t xml:space="preserve"> Юредична особа, яка забезпечує потреби держави або територіальної громади (відповідно до п</w:t>
            </w:r>
            <w:r>
              <w:rPr>
                <w:rFonts w:hint="default"/>
                <w:lang w:val="uk-UA"/>
              </w:rPr>
              <w:t>.</w:t>
            </w:r>
            <w:r>
              <w:rPr>
                <w:lang w:val="uk-UA"/>
              </w:rPr>
              <w:t>3 ч.1 ст.2 Закону України «Про публічні закупівлі»</w:t>
            </w:r>
            <w:r>
              <w:rPr>
                <w:rFonts w:hint="default"/>
                <w:lang w:val="uk-UA"/>
              </w:rPr>
              <w:t>)</w:t>
            </w:r>
          </w:p>
        </w:tc>
      </w:tr>
      <w:tr w14:paraId="3903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6A3DE37E">
            <w:pPr>
              <w:pStyle w:val="9"/>
              <w:spacing w:before="0" w:after="0"/>
              <w:contextualSpacing/>
              <w:jc w:val="both"/>
              <w:rPr>
                <w:lang w:val="uk-UA"/>
              </w:rPr>
            </w:pPr>
          </w:p>
        </w:tc>
        <w:tc>
          <w:tcPr>
            <w:tcW w:w="6237" w:type="dxa"/>
            <w:vAlign w:val="center"/>
          </w:tcPr>
          <w:p w14:paraId="101D82B5">
            <w:pPr>
              <w:pStyle w:val="9"/>
              <w:snapToGrid w:val="0"/>
              <w:spacing w:before="0" w:after="0"/>
              <w:ind w:right="100"/>
              <w:contextualSpacing/>
              <w:jc w:val="both"/>
              <w:rPr>
                <w:lang w:val="uk-UA"/>
              </w:rPr>
            </w:pPr>
          </w:p>
        </w:tc>
      </w:tr>
      <w:tr w14:paraId="13A5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50C270C3">
            <w:pPr>
              <w:pStyle w:val="9"/>
              <w:spacing w:before="0" w:after="0"/>
              <w:contextualSpacing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  назва предмета закупівлі</w:t>
            </w:r>
          </w:p>
        </w:tc>
        <w:tc>
          <w:tcPr>
            <w:tcW w:w="6237" w:type="dxa"/>
            <w:vAlign w:val="center"/>
          </w:tcPr>
          <w:p w14:paraId="6E9CB50E">
            <w:pPr>
              <w:widowControl/>
              <w:shd w:val="clear" w:color="auto" w:fill="FFFFFF"/>
              <w:suppressAutoHyphens w:val="0"/>
              <w:autoSpaceDE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>код ДК 021:2015-03410000-7 Деревина (Деревина дров’яна непромислового використання)</w:t>
            </w:r>
          </w:p>
        </w:tc>
      </w:tr>
      <w:tr w14:paraId="5B77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3BF6DCDB">
            <w:pPr>
              <w:pStyle w:val="9"/>
              <w:spacing w:before="0" w:after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вид та ідентифікатор процедури закупівлі</w:t>
            </w:r>
          </w:p>
        </w:tc>
        <w:tc>
          <w:tcPr>
            <w:tcW w:w="6237" w:type="dxa"/>
            <w:vAlign w:val="center"/>
          </w:tcPr>
          <w:p w14:paraId="47DEC0AF">
            <w:pPr>
              <w:shd w:val="clear" w:color="auto" w:fill="FFFFFF"/>
              <w:spacing w:after="107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Відкриті торги з особливостями</w:t>
            </w:r>
            <w:r>
              <w:rPr>
                <w:rFonts w:hint="default" w:ascii="Times New Roman" w:hAnsi="Times New Roman" w:cs="Times New Roman"/>
                <w:bCs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-2024-07-26-004480-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323400,00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грн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Визначення очікуваної вартості предмета закупівлі обумовлено аналізом</w:t>
            </w:r>
            <w:r>
              <w:rPr>
                <w:rFonts w:hint="default" w:ascii="Times New Roman" w:hAnsi="Times New Roman" w:cs="Times New Roman"/>
                <w:bCs/>
                <w:lang w:val="uk-UA"/>
              </w:rPr>
              <w:t>: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color w:val="333333"/>
                <w:lang w:val="uk-UA"/>
              </w:rPr>
              <w:t>Розрахунок очікуваної вартості ціни за м3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uk-UA"/>
              </w:rPr>
              <w:t xml:space="preserve"> Деревини дров’яної непромислового використання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uk-UA"/>
              </w:rPr>
              <w:t xml:space="preserve"> відповідно 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закупівлі» від 18.02.20р. №275 пп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 п.3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6692EF94">
            <w:pPr>
              <w:shd w:val="clear" w:color="auto" w:fill="FFFFFF"/>
              <w:spacing w:after="107"/>
              <w:ind w:firstLine="322"/>
              <w:jc w:val="both"/>
              <w:rPr>
                <w:color w:val="333333"/>
              </w:rPr>
            </w:pPr>
            <w:r>
              <w:rPr>
                <w:color w:val="333333"/>
              </w:rPr>
              <w:t>3)визначити очікувану ціну за одиницю, як середньо</w:t>
            </w:r>
            <w:r>
              <w:rPr>
                <w:color w:val="333333"/>
                <w:lang w:val="uk-UA"/>
              </w:rPr>
              <w:t xml:space="preserve"> </w:t>
            </w:r>
            <w:r>
              <w:rPr>
                <w:color w:val="333333"/>
              </w:rPr>
              <w:t>арифметичне значення масиву отриманих даних, що розраховується за такою формулою:</w:t>
            </w:r>
          </w:p>
          <w:p w14:paraId="7A5C3F64">
            <w:pPr>
              <w:shd w:val="clear" w:color="auto" w:fill="FFFFFF"/>
              <w:spacing w:before="107" w:after="107"/>
              <w:jc w:val="center"/>
              <w:rPr>
                <w:color w:val="333333"/>
              </w:rPr>
            </w:pPr>
            <w:bookmarkStart w:id="0" w:name="n60"/>
            <w:bookmarkEnd w:id="0"/>
            <w:r>
              <w:rPr>
                <w:b/>
                <w:bCs/>
                <w:color w:val="333333"/>
              </w:rPr>
              <w:t>Ц</w:t>
            </w:r>
            <w:r>
              <w:rPr>
                <w:b/>
                <w:bCs/>
                <w:color w:val="333333"/>
                <w:vertAlign w:val="subscript"/>
              </w:rPr>
              <w:t>од</w:t>
            </w:r>
            <w:r>
              <w:rPr>
                <w:color w:val="333333"/>
              </w:rPr>
              <w:t> </w:t>
            </w:r>
            <w:r>
              <w:rPr>
                <w:b/>
                <w:bCs/>
                <w:color w:val="333333"/>
              </w:rPr>
              <w:t>= (Ц</w:t>
            </w:r>
            <w:r>
              <w:rPr>
                <w:b/>
                <w:bCs/>
                <w:color w:val="333333"/>
                <w:vertAlign w:val="subscript"/>
              </w:rPr>
              <w:t>1</w:t>
            </w:r>
            <w:r>
              <w:rPr>
                <w:color w:val="333333"/>
              </w:rPr>
              <w:t> </w:t>
            </w:r>
            <w:r>
              <w:rPr>
                <w:b/>
                <w:bCs/>
                <w:color w:val="333333"/>
              </w:rPr>
              <w:t>+… + Ц</w:t>
            </w:r>
            <w:r>
              <w:rPr>
                <w:b/>
                <w:bCs/>
                <w:color w:val="333333"/>
                <w:vertAlign w:val="subscript"/>
              </w:rPr>
              <w:t>к</w:t>
            </w:r>
            <w:r>
              <w:rPr>
                <w:b/>
                <w:bCs/>
                <w:color w:val="333333"/>
              </w:rPr>
              <w:t>) / К,</w:t>
            </w:r>
          </w:p>
          <w:p w14:paraId="77894F32">
            <w:pPr>
              <w:shd w:val="clear" w:color="auto" w:fill="FFFFFF"/>
              <w:spacing w:before="107" w:after="107"/>
              <w:jc w:val="center"/>
              <w:rPr>
                <w:color w:val="333333"/>
              </w:rPr>
            </w:pPr>
          </w:p>
          <w:tbl>
            <w:tblPr>
              <w:tblStyle w:val="5"/>
              <w:tblW w:w="5000" w:type="pc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13"/>
              <w:gridCol w:w="416"/>
              <w:gridCol w:w="279"/>
              <w:gridCol w:w="5118"/>
            </w:tblGrid>
            <w:tr w14:paraId="459688F5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22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7E3613C7">
                  <w:pPr>
                    <w:spacing w:before="107" w:after="107"/>
                  </w:pPr>
                  <w:bookmarkStart w:id="1" w:name="n61"/>
                  <w:bookmarkEnd w:id="1"/>
                  <w:r>
                    <w:t>де:</w:t>
                  </w:r>
                </w:p>
              </w:tc>
              <w:tc>
                <w:tcPr>
                  <w:tcW w:w="42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5AB27255">
                  <w:pPr>
                    <w:spacing w:before="107" w:after="107"/>
                  </w:pPr>
                  <w:r>
                    <w:rPr>
                      <w:b/>
                      <w:bCs/>
                    </w:rPr>
                    <w:t>Ц</w:t>
                  </w:r>
                  <w:r>
                    <w:rPr>
                      <w:b/>
                      <w:bCs/>
                      <w:vertAlign w:val="subscript"/>
                    </w:rPr>
                    <w:t>од</w:t>
                  </w:r>
                </w:p>
              </w:tc>
              <w:tc>
                <w:tcPr>
                  <w:tcW w:w="28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0B06076E">
                  <w:pPr>
                    <w:spacing w:before="107" w:after="107"/>
                    <w:jc w:val="center"/>
                  </w:pPr>
                  <w:r>
                    <w:t>-</w:t>
                  </w:r>
                </w:p>
              </w:tc>
              <w:tc>
                <w:tcPr>
                  <w:tcW w:w="5232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3DDF95DA">
                  <w:pPr>
                    <w:spacing w:before="107" w:after="107"/>
                  </w:pPr>
                  <w:r>
                    <w:t>очікувана ціна за одиницю;</w:t>
                  </w:r>
                </w:p>
              </w:tc>
            </w:tr>
            <w:tr w14:paraId="3C7EA18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22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1971DFCD">
                  <w:pPr>
                    <w:spacing w:before="107" w:after="107"/>
                  </w:pPr>
                </w:p>
              </w:tc>
              <w:tc>
                <w:tcPr>
                  <w:tcW w:w="42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0AB20269">
                  <w:pPr>
                    <w:spacing w:before="107" w:after="107"/>
                  </w:pPr>
                  <w:r>
                    <w:rPr>
                      <w:b/>
                      <w:bCs/>
                    </w:rPr>
                    <w:t>Ц</w:t>
                  </w:r>
                  <w:r>
                    <w:rPr>
                      <w:b/>
                      <w:bCs/>
                      <w:vertAlign w:val="subscript"/>
                    </w:rPr>
                    <w:t>1</w:t>
                  </w:r>
                  <w:r>
                    <w:t>, Ц</w:t>
                  </w:r>
                  <w:r>
                    <w:rPr>
                      <w:b/>
                      <w:bCs/>
                      <w:vertAlign w:val="subscript"/>
                    </w:rPr>
                    <w:t>к</w:t>
                  </w:r>
                </w:p>
              </w:tc>
              <w:tc>
                <w:tcPr>
                  <w:tcW w:w="28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6457A3BA">
                  <w:pPr>
                    <w:spacing w:before="107" w:after="107"/>
                    <w:jc w:val="center"/>
                  </w:pPr>
                  <w:r>
                    <w:t>-</w:t>
                  </w:r>
                </w:p>
              </w:tc>
              <w:tc>
                <w:tcPr>
                  <w:tcW w:w="5232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53ACD4E9">
                  <w:pPr>
                    <w:spacing w:before="107" w:after="107"/>
                  </w:pPr>
                  <w:r>
                    <w:t>ціни, отримані з відкритих джерел інформації, приведені до єдиних умов;</w:t>
                  </w:r>
                </w:p>
              </w:tc>
            </w:tr>
            <w:tr w14:paraId="5E072083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22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09C05647">
                  <w:pPr>
                    <w:spacing w:before="107" w:after="107"/>
                  </w:pPr>
                </w:p>
              </w:tc>
              <w:tc>
                <w:tcPr>
                  <w:tcW w:w="42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41D8B14F">
                  <w:pPr>
                    <w:spacing w:before="107" w:after="107"/>
                  </w:pPr>
                  <w:r>
                    <w:rPr>
                      <w:b/>
                      <w:bCs/>
                    </w:rPr>
                    <w:t>К</w:t>
                  </w:r>
                </w:p>
              </w:tc>
              <w:tc>
                <w:tcPr>
                  <w:tcW w:w="28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338F7707">
                  <w:pPr>
                    <w:spacing w:before="107" w:after="107"/>
                    <w:jc w:val="center"/>
                  </w:pPr>
                  <w:r>
                    <w:t>-</w:t>
                  </w:r>
                </w:p>
              </w:tc>
              <w:tc>
                <w:tcPr>
                  <w:tcW w:w="5232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14:paraId="4D8954EA">
                  <w:pPr>
                    <w:spacing w:before="107" w:after="107"/>
                  </w:pPr>
                  <w:r>
                    <w:t>кількість цін, отриманих з відкритих джерел інформації;</w:t>
                  </w:r>
                </w:p>
              </w:tc>
            </w:tr>
          </w:tbl>
          <w:p w14:paraId="2949B7B2">
            <w:pPr>
              <w:rPr>
                <w:lang w:val="uk-UA"/>
              </w:rPr>
            </w:pPr>
          </w:p>
          <w:p w14:paraId="493A8CC2">
            <w:pPr>
              <w:rPr>
                <w:lang w:val="uk-UA"/>
              </w:rPr>
            </w:pPr>
            <w:r>
              <w:rPr>
                <w:lang w:val="uk-UA"/>
              </w:rPr>
              <w:t>Закупівлі початок липня 2024р. Держзакупівлі:</w:t>
            </w:r>
          </w:p>
          <w:p w14:paraId="50F34A97">
            <w:pPr>
              <w:rPr>
                <w:lang w:val="uk-UA"/>
              </w:rPr>
            </w:pPr>
            <w:r>
              <w:rPr>
                <w:lang w:val="uk-UA"/>
              </w:rPr>
              <w:t>Іллінецький ліцей №2 Вінницька обл. 1800грн./м3</w:t>
            </w:r>
          </w:p>
          <w:p w14:paraId="6EECF119">
            <w:pPr>
              <w:rPr>
                <w:lang w:val="uk-UA"/>
              </w:rPr>
            </w:pPr>
            <w:r>
              <w:rPr>
                <w:lang w:val="uk-UA"/>
              </w:rPr>
              <w:t>Управління поліції Сумська обл. 1300грн./м3</w:t>
            </w:r>
          </w:p>
          <w:p w14:paraId="72B6C9B9">
            <w:pPr>
              <w:rPr>
                <w:lang w:val="uk-UA"/>
              </w:rPr>
            </w:pPr>
            <w:r>
              <w:rPr>
                <w:lang w:val="uk-UA"/>
              </w:rPr>
              <w:t>Центр культури і дозвілля Лубенської міської ради Полтавська обл. 1640грн./м3</w:t>
            </w:r>
          </w:p>
          <w:p w14:paraId="67D11F98">
            <w:pPr>
              <w:rPr>
                <w:lang w:val="uk-UA"/>
              </w:rPr>
            </w:pPr>
          </w:p>
          <w:p w14:paraId="251E71C9">
            <w:pPr>
              <w:rPr>
                <w:lang w:val="uk-UA"/>
              </w:rPr>
            </w:pPr>
          </w:p>
          <w:p w14:paraId="5E426A36">
            <w:pPr>
              <w:rPr>
                <w:lang w:val="uk-UA"/>
              </w:rPr>
            </w:pPr>
            <w:r>
              <w:rPr>
                <w:lang w:val="uk-UA"/>
              </w:rPr>
              <w:t xml:space="preserve">(1800+1300+1640)/3=1580грн/м3 </w:t>
            </w:r>
          </w:p>
          <w:p w14:paraId="2E4F1C00"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Розрахукнкова</w:t>
            </w:r>
            <w:r>
              <w:rPr>
                <w:rFonts w:hint="default"/>
                <w:lang w:val="uk-UA"/>
              </w:rPr>
              <w:t xml:space="preserve"> ціна для очікуваної вартості закупівлі -</w:t>
            </w:r>
            <w:r>
              <w:rPr>
                <w:lang w:val="uk-UA"/>
              </w:rPr>
              <w:t xml:space="preserve"> 1400грн.</w:t>
            </w:r>
            <w:r>
              <w:rPr>
                <w:rFonts w:hint="default"/>
                <w:lang w:val="uk-UA"/>
              </w:rPr>
              <w:t>,</w:t>
            </w:r>
            <w:r>
              <w:rPr>
                <w:lang w:val="uk-UA"/>
              </w:rPr>
              <w:t xml:space="preserve"> згідно потреби і виділених коштів</w:t>
            </w:r>
            <w:r>
              <w:rPr>
                <w:rFonts w:hint="default"/>
                <w:lang w:val="uk-UA"/>
              </w:rPr>
              <w:t>.</w:t>
            </w:r>
          </w:p>
          <w:p w14:paraId="3219E564">
            <w:pPr>
              <w:rPr>
                <w:lang w:val="uk-UA"/>
              </w:rPr>
            </w:pPr>
          </w:p>
          <w:p w14:paraId="14268914">
            <w:pPr>
              <w:ind w:right="10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14:paraId="1A2B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50EB3B33">
            <w:pPr>
              <w:pStyle w:val="9"/>
              <w:spacing w:before="0" w:after="0"/>
              <w:contextualSpacing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>
              <w:rPr>
                <w:lang w:val="uk-UA"/>
              </w:rPr>
              <w:t>розмір бюджетного призначення</w:t>
            </w:r>
          </w:p>
        </w:tc>
        <w:tc>
          <w:tcPr>
            <w:tcW w:w="6237" w:type="dxa"/>
            <w:vAlign w:val="center"/>
          </w:tcPr>
          <w:p w14:paraId="19DA898A">
            <w:pPr>
              <w:ind w:firstLine="12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>
              <w:rPr>
                <w:rFonts w:hint="default"/>
                <w:lang w:val="uk-UA"/>
              </w:rPr>
              <w:t>323400</w:t>
            </w:r>
            <w:r>
              <w:rPr>
                <w:lang w:val="uk-UA"/>
              </w:rPr>
              <w:t>,00 в т.ч. ПДВ</w:t>
            </w:r>
          </w:p>
        </w:tc>
      </w:tr>
      <w:tr w14:paraId="61E4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60F0B78D">
            <w:pPr>
              <w:pStyle w:val="9"/>
              <w:spacing w:before="0" w:after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нормативно-правове регулювання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A4FEEB">
            <w:pPr>
              <w:pStyle w:val="9"/>
              <w:snapToGrid w:val="0"/>
              <w:spacing w:before="0" w:after="0"/>
              <w:ind w:right="100"/>
              <w:contextualSpacing/>
              <w:rPr>
                <w:rFonts w:hint="default"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bCs/>
                <w:lang w:eastAsia="ru-RU"/>
              </w:rPr>
              <w:t>Деревина дров’яна для непромислового використання</w:t>
            </w:r>
            <w:r>
              <w:t xml:space="preserve"> повинна відповідати ТУУ 16.1-00994207-005:2018 </w:t>
            </w:r>
            <w:r>
              <w:rPr>
                <w:rFonts w:hint="default"/>
                <w:lang w:val="uk-UA"/>
              </w:rPr>
              <w:t>“</w:t>
            </w:r>
            <w:r>
              <w:t xml:space="preserve">Деревина дров’яна. Класифікація, облік, технічні вимоги». </w:t>
            </w:r>
            <w:r>
              <w:rPr>
                <w:bCs/>
                <w:lang w:eastAsia="ru-RU"/>
              </w:rPr>
              <w:t>Деревина дров’яна для непромислового використання</w:t>
            </w:r>
            <w:r>
              <w:rPr>
                <w:bCs/>
                <w:lang w:val="uk-UA" w:eastAsia="ru-RU"/>
              </w:rPr>
              <w:t>.</w:t>
            </w:r>
            <w:r>
              <w:rPr>
                <w:rFonts w:hint="default"/>
                <w:bCs/>
                <w:lang w:val="uk-UA" w:eastAsia="ru-RU"/>
              </w:rPr>
              <w:t>”</w:t>
            </w:r>
          </w:p>
        </w:tc>
      </w:tr>
      <w:tr w14:paraId="0049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12DEA189">
            <w:pPr>
              <w:pStyle w:val="9"/>
              <w:spacing w:before="0" w:after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загальні положення</w:t>
            </w:r>
          </w:p>
        </w:tc>
        <w:tc>
          <w:tcPr>
            <w:tcW w:w="6237" w:type="dxa"/>
            <w:vAlign w:val="center"/>
          </w:tcPr>
          <w:p w14:paraId="22523A5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Послуги, які обов’язково надає учасник та включає в ціну товару:</w:t>
            </w:r>
          </w:p>
          <w:p w14:paraId="1E2CEFE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податки і збори, обов’язкові платежі, що сплачуються або мають бути сплачені згідно чинним законодавством;</w:t>
            </w:r>
          </w:p>
          <w:p w14:paraId="7891111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доставка товару  здійснюється за адресою закладу Замовнику;</w:t>
            </w:r>
          </w:p>
          <w:p w14:paraId="744C77C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-здійснення  вантажно-розвантажувальних послуг при поставці товару. Розвантаження на складі Замовника із складанням в стоси або в штабеля.</w:t>
            </w:r>
          </w:p>
          <w:p w14:paraId="2D60A67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Строки поставки – з дати укладення договору до </w:t>
            </w:r>
            <w:r>
              <w:rPr>
                <w:rFonts w:ascii="Times New Roman" w:hAnsi="Times New Roman"/>
                <w:lang w:val="uk-UA"/>
              </w:rPr>
              <w:t>01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uk-UA"/>
              </w:rPr>
              <w:t>12</w:t>
            </w:r>
            <w:r>
              <w:rPr>
                <w:rFonts w:ascii="Times New Roman" w:hAnsi="Times New Roman"/>
              </w:rPr>
              <w:t>.2024 року.</w:t>
            </w:r>
          </w:p>
          <w:p w14:paraId="3B6F9D9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3.Поставка товару здійснюється у робочі </w:t>
            </w:r>
            <w:r>
              <w:rPr>
                <w:rFonts w:ascii="Times New Roman" w:hAnsi="Times New Roman" w:cs="Times New Roman"/>
              </w:rPr>
              <w:t>дні та години,невеликими партіями (відсутність у Замовника достатньої кількості складських приміщень</w:t>
            </w:r>
            <w:r>
              <w:t>)</w:t>
            </w:r>
            <w:r>
              <w:rPr>
                <w:rFonts w:ascii="Times New Roman" w:hAnsi="Times New Roman"/>
              </w:rPr>
              <w:t>, згідно заявок Замовника, що погоджуються сторонами в залежності від фактичної потреби замовника.</w:t>
            </w:r>
          </w:p>
          <w:p w14:paraId="5285403D">
            <w:pPr>
              <w:pStyle w:val="9"/>
              <w:tabs>
                <w:tab w:val="left" w:pos="2160"/>
              </w:tabs>
              <w:spacing w:before="0" w:after="0" w:line="276" w:lineRule="auto"/>
              <w:jc w:val="both"/>
            </w:pPr>
            <w:r>
              <w:t>4. При поставці товару  повинні надаватися  супровідні документи (дійсні на дату поставки), що підтверджують його походження, (лісовий квиток, паспорти якості, тощо). При прийомі товару, обсяг  товару має  відповідати обсягу,  який зазначений у супровідних документах. Приймання Товару за кількістю і якістю здійснюється представником (-ами) обох сторін в порядку, що визначається чинним законодавством України.</w:t>
            </w:r>
          </w:p>
          <w:p w14:paraId="0466B3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Учасник повинен в складі тендерної пропозиції надати гарантійний лист щодо забезпечення поставки деревини протягом 2024 року.</w:t>
            </w:r>
          </w:p>
          <w:p w14:paraId="49FDB90E">
            <w:pPr>
              <w:pStyle w:val="9"/>
              <w:tabs>
                <w:tab w:val="left" w:pos="0"/>
                <w:tab w:val="left" w:pos="284"/>
              </w:tabs>
              <w:suppressAutoHyphens w:val="0"/>
              <w:spacing w:before="0" w:after="0" w:line="276" w:lineRule="auto"/>
              <w:contextualSpacing/>
              <w:jc w:val="both"/>
            </w:pPr>
            <w:r>
              <w:rPr>
                <w:lang w:val="uk-UA"/>
              </w:rPr>
              <w:t>6.</w:t>
            </w:r>
            <w:r>
              <w:t>Постачальник повинен забезпечити можливість вимірювання деревини в присутності представника Замовника, який має відслідковувати кількість деревини.</w:t>
            </w:r>
          </w:p>
          <w:p w14:paraId="19E88447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/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Замовник залишає за собою право у будь-який момент, на протязі усього терміну поставки товари, провести незалежне дослідження товару на відповідність технічним умовам та вимогам ДСТУ.</w:t>
            </w:r>
          </w:p>
          <w:p w14:paraId="331EB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8. </w:t>
            </w:r>
            <w:r>
              <w:rPr>
                <w:rFonts w:ascii="Times New Roman" w:hAnsi="Times New Roman"/>
              </w:rPr>
              <w:t xml:space="preserve">З метою підтвердження легального походження товару, </w:t>
            </w:r>
            <w:r>
              <w:rPr>
                <w:rFonts w:ascii="Times New Roman" w:hAnsi="Times New Roman" w:cs="Times New Roman"/>
              </w:rPr>
              <w:t>Учасник повинен надати копію підтверджуючих документів законності походження товару:</w:t>
            </w:r>
          </w:p>
          <w:p w14:paraId="06F4B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разі, якщо учасник є постійним або тимчасовим лісокористувачем: копію чинного дозволу на спеціалізоване використання лісових ресурсів (завірені печаткою учасника (в разі наявності) і власноручним підписом уповноваженої особи Учасника), копію чинного дозволу на виконання робіт підвищеної небезпеки (завірені печаткою учасника (в разі наявності) і власноручним підписом уповноваженої особи Учасника) (лісосічні роботи, трелювання, транспортування лісу), лісорубний квиток, що виданий не раніше 01.01.2024 року та чинний до 31.12.2024 року.</w:t>
            </w:r>
          </w:p>
          <w:p w14:paraId="53488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разі, якщо учасник не є постійним або тимчасовим лісокористувачем: копію договору (договорів) купівлі-продажу необробленої деревини з виробником продукції укладеним у 2024 році та копію аукціонного (аукціонних) свідоцтва (свідоцтв) про результати проведення аукціону з продажу необробленої деревини, проведеного у 2024 році, в яких біржа визнає учасника переможцем в аукціоні з продажу предмета закупівлі</w:t>
            </w:r>
          </w:p>
          <w:p w14:paraId="6CD5B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- перевага надається Учаснику що має сертифікат FSC</w:t>
            </w:r>
          </w:p>
        </w:tc>
      </w:tr>
      <w:tr w14:paraId="12CBD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1B7CB36C">
            <w:pPr>
              <w:pStyle w:val="9"/>
              <w:spacing w:before="0" w:after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обгрунтування технічних зарактеристик</w:t>
            </w:r>
          </w:p>
        </w:tc>
        <w:tc>
          <w:tcPr>
            <w:tcW w:w="6237" w:type="dxa"/>
            <w:vAlign w:val="center"/>
          </w:tcPr>
          <w:p w14:paraId="5533FCEA">
            <w:pPr>
              <w:ind w:right="10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Технічні та якісні характеристики предмета закупівлі визначені відповідні до потреб замовника та з урахуванням вимог нормативних документів у сфері стандартизації. </w:t>
            </w:r>
          </w:p>
        </w:tc>
      </w:tr>
      <w:tr w14:paraId="4867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7B034642">
            <w:pPr>
              <w:pStyle w:val="9"/>
              <w:spacing w:before="0" w:after="0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 найменування (для юридичної особи) або прізвище, ім’я, по батькові (для фізичної особи) суб’єкта, з яким укладається договір про закупівлю</w:t>
            </w:r>
          </w:p>
        </w:tc>
        <w:tc>
          <w:tcPr>
            <w:tcW w:w="6237" w:type="dxa"/>
          </w:tcPr>
          <w:p w14:paraId="25CD1073">
            <w:pPr>
              <w:widowControl/>
              <w:shd w:val="clear" w:color="auto" w:fill="FFFFFF"/>
              <w:suppressAutoHyphens w:val="0"/>
              <w:autoSpaceDE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ФІЛІЯ "РАФАЛІВСЬКЕ ЛІСОВЕ ГОСПОДАРСТВО" ДЕРЖАВНОГО СПЕЦІАЛІЗОВАНОГО ГОСПОДАРСЬКОГО ПІДПРИЄМСТВА "ЛІСИ УКРАЇНИ"</w:t>
            </w:r>
          </w:p>
          <w:p w14:paraId="4B38D574">
            <w:pPr>
              <w:autoSpaceDN w:val="0"/>
              <w:ind w:right="10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14:paraId="7318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1304F8EA">
            <w:pPr>
              <w:pStyle w:val="9"/>
              <w:spacing w:before="0" w:after="0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  код згідно з ЄДРПОУ/реєстраційний номер облікової картки платника податків суб’єкта, з яким укладається договір про закупівлю</w:t>
            </w:r>
          </w:p>
        </w:tc>
        <w:tc>
          <w:tcPr>
            <w:tcW w:w="6237" w:type="dxa"/>
          </w:tcPr>
          <w:p w14:paraId="31FA8453">
            <w:pPr>
              <w:autoSpaceDN w:val="0"/>
              <w:ind w:right="10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45088216</w:t>
            </w:r>
          </w:p>
        </w:tc>
      </w:tr>
      <w:tr w14:paraId="5AB0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vAlign w:val="center"/>
          </w:tcPr>
          <w:p w14:paraId="0C09E24D">
            <w:pPr>
              <w:pStyle w:val="9"/>
              <w:spacing w:before="0" w:after="0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   ціна договор</w:t>
            </w:r>
            <w:r>
              <w:rPr>
                <w:lang w:val="en-US"/>
              </w:rPr>
              <w:t>у</w:t>
            </w:r>
          </w:p>
        </w:tc>
        <w:tc>
          <w:tcPr>
            <w:tcW w:w="6237" w:type="dxa"/>
          </w:tcPr>
          <w:p w14:paraId="6F7D917E">
            <w:pPr>
              <w:autoSpaceDN w:val="0"/>
              <w:ind w:right="100"/>
              <w:contextualSpacing/>
              <w:jc w:val="both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323400,00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грн.</w:t>
            </w:r>
            <w:bookmarkStart w:id="2" w:name="_GoBack"/>
            <w:bookmarkEnd w:id="2"/>
          </w:p>
        </w:tc>
      </w:tr>
    </w:tbl>
    <w:p w14:paraId="470CF3AB">
      <w:pPr>
        <w:rPr>
          <w:lang w:val="uk-UA"/>
        </w:rPr>
      </w:pPr>
    </w:p>
    <w:sectPr>
      <w:pgSz w:w="11906" w:h="16838"/>
      <w:pgMar w:top="1134" w:right="1274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01311"/>
    <w:multiLevelType w:val="multilevel"/>
    <w:tmpl w:val="4D601311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DF9"/>
    <w:rsid w:val="00005DF9"/>
    <w:rsid w:val="000554C4"/>
    <w:rsid w:val="000B384D"/>
    <w:rsid w:val="000F0F51"/>
    <w:rsid w:val="001A6A6B"/>
    <w:rsid w:val="002A630E"/>
    <w:rsid w:val="00412D59"/>
    <w:rsid w:val="0068217F"/>
    <w:rsid w:val="00694191"/>
    <w:rsid w:val="006A7E33"/>
    <w:rsid w:val="006B5FD0"/>
    <w:rsid w:val="00724F2A"/>
    <w:rsid w:val="00743331"/>
    <w:rsid w:val="00750229"/>
    <w:rsid w:val="007527EA"/>
    <w:rsid w:val="00764525"/>
    <w:rsid w:val="007D2ECE"/>
    <w:rsid w:val="0081416F"/>
    <w:rsid w:val="008A37CD"/>
    <w:rsid w:val="0096637D"/>
    <w:rsid w:val="00AB0457"/>
    <w:rsid w:val="00AD5BFB"/>
    <w:rsid w:val="00DA7A47"/>
    <w:rsid w:val="00F96C43"/>
    <w:rsid w:val="00FA24F8"/>
    <w:rsid w:val="4E44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 CYR" w:hAnsi="Times New Roman CYR" w:eastAsia="Times New Roman" w:cs="Times New Roman CYR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val="uk-UA"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paragraph" w:styleId="8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9">
    <w:name w:val="Normal (Web)"/>
    <w:basedOn w:val="1"/>
    <w:link w:val="17"/>
    <w:qFormat/>
    <w:uiPriority w:val="0"/>
    <w:pPr>
      <w:widowControl/>
      <w:autoSpaceDE/>
      <w:spacing w:before="280" w:after="280"/>
    </w:pPr>
    <w:rPr>
      <w:rFonts w:ascii="Times New Roman" w:hAnsi="Times New Roman" w:cs="Times New Roman"/>
    </w:rPr>
  </w:style>
  <w:style w:type="paragraph" w:styleId="10">
    <w:name w:val="Subtitle"/>
    <w:basedOn w:val="1"/>
    <w:next w:val="1"/>
    <w:link w:val="13"/>
    <w:qFormat/>
    <w:uiPriority w:val="0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character" w:customStyle="1" w:styleId="11">
    <w:name w:val="Заголовок 1 Знак"/>
    <w:basedOn w:val="4"/>
    <w:link w:val="2"/>
    <w:uiPriority w:val="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2">
    <w:name w:val="Название Знак"/>
    <w:basedOn w:val="4"/>
    <w:link w:val="8"/>
    <w:uiPriority w:val="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13">
    <w:name w:val="Подзаголовок Знак"/>
    <w:basedOn w:val="4"/>
    <w:link w:val="10"/>
    <w:uiPriority w:val="0"/>
    <w:rPr>
      <w:rFonts w:asciiTheme="majorHAnsi" w:hAnsiTheme="majorHAnsi" w:eastAsiaTheme="majorEastAsia" w:cstheme="majorBidi"/>
      <w:sz w:val="24"/>
      <w:szCs w:val="24"/>
    </w:rPr>
  </w:style>
  <w:style w:type="paragraph" w:styleId="1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5">
    <w:name w:val="Заголовок 3 Знак"/>
    <w:basedOn w:val="4"/>
    <w:link w:val="3"/>
    <w:semiHidden/>
    <w:uiPriority w:val="0"/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:lang w:val="uk-UA" w:eastAsia="ar-S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Обычный (веб) Знак"/>
    <w:link w:val="9"/>
    <w:locked/>
    <w:uiPriority w:val="0"/>
    <w:rPr>
      <w:sz w:val="24"/>
      <w:szCs w:val="24"/>
      <w:lang w:eastAsia="zh-CN"/>
    </w:rPr>
  </w:style>
  <w:style w:type="character" w:customStyle="1" w:styleId="18">
    <w:name w:val="h-address-formatter"/>
    <w:basedOn w:val="4"/>
    <w:uiPriority w:val="0"/>
  </w:style>
  <w:style w:type="character" w:customStyle="1" w:styleId="19">
    <w:name w:val="qa_classifier_dk"/>
    <w:basedOn w:val="4"/>
    <w:uiPriority w:val="0"/>
  </w:style>
  <w:style w:type="character" w:customStyle="1" w:styleId="20">
    <w:name w:val="qa_classifier_descr_code"/>
    <w:basedOn w:val="4"/>
    <w:uiPriority w:val="0"/>
  </w:style>
  <w:style w:type="character" w:customStyle="1" w:styleId="21">
    <w:name w:val="qa_classifier_descr_primary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D712-785A-4014-9549-C363250595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3</Pages>
  <Words>3433</Words>
  <Characters>1958</Characters>
  <Lines>16</Lines>
  <Paragraphs>10</Paragraphs>
  <TotalTime>15</TotalTime>
  <ScaleCrop>false</ScaleCrop>
  <LinksUpToDate>false</LinksUpToDate>
  <CharactersWithSpaces>5381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2024-09-18T12:31:00Z</dcterms:created>
  <dc:creator>Galyna</dc:creator>
  <cp:lastModifiedBy>User</cp:lastModifiedBy>
  <dcterms:modified xsi:type="dcterms:W3CDTF">2024-09-19T11:55:20Z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A2A707DCFE164E39AAE3714D0666D3FE_12</vt:lpwstr>
  </property>
</Properties>
</file>