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5E904F4" w14:textId="654A0974" w:rsidR="00A54874" w:rsidRDefault="00285EA3">
      <w:r>
        <w:fldChar w:fldCharType="begin"/>
      </w:r>
      <w:r>
        <w:instrText xml:space="preserve"> HYPERLINK "</w:instrText>
      </w:r>
      <w:r w:rsidRPr="002A2B59">
        <w:instrText>https://osvita.ua/school/metod-rekom/</w:instrText>
      </w:r>
      <w:r>
        <w:instrText xml:space="preserve">" </w:instrText>
      </w:r>
      <w:r>
        <w:fldChar w:fldCharType="separate"/>
      </w:r>
      <w:r w:rsidRPr="00F83927">
        <w:rPr>
          <w:rStyle w:val="a3"/>
        </w:rPr>
        <w:t>https://osvita.ua/school/metod-rekom/</w:t>
      </w:r>
      <w:r>
        <w:fldChar w:fldCharType="end"/>
      </w:r>
    </w:p>
    <w:p w14:paraId="5AAFD818" w14:textId="28C1B416" w:rsidR="00285EA3" w:rsidRDefault="00B62C50">
      <w:hyperlink r:id="rId6" w:history="1">
        <w:r w:rsidR="00D03E94" w:rsidRPr="00170203">
          <w:rPr>
            <w:rStyle w:val="a3"/>
          </w:rPr>
          <w:t>https://naurok.com.ua/post/2024-2025-navchalniy-rik-rekomendaci-schodo-vikladannya-navchalnih-predmetiv</w:t>
        </w:r>
      </w:hyperlink>
    </w:p>
    <w:p w14:paraId="5C69760D" w14:textId="77777777" w:rsidR="00285EA3" w:rsidRPr="00285EA3" w:rsidRDefault="00285EA3" w:rsidP="00285EA3">
      <w:pPr>
        <w:spacing w:line="240" w:lineRule="auto"/>
        <w:rPr>
          <w:rFonts w:ascii="Roboto" w:eastAsia="Times New Roman" w:hAnsi="Roboto" w:cs="Times New Roman"/>
          <w:i/>
          <w:iCs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i/>
          <w:iCs/>
          <w:color w:val="333333"/>
          <w:sz w:val="26"/>
          <w:szCs w:val="26"/>
          <w:lang w:eastAsia="uk-UA"/>
        </w:rPr>
        <w:t>Опрацьовуємо інструктивно-методичні рекомендації МОН</w:t>
      </w:r>
    </w:p>
    <w:p w14:paraId="54E2BD4B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10.09.2024 </w:t>
      </w:r>
      <w:hyperlink r:id="rId7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Міністерство освіти і науки України опублікувало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Інструктивно-методичні рекомендації щодо викладання навчальних предметів / інтегрованих курсів у закладах загальної середньої освіти у 2024/2025 навчальному році </w:t>
      </w:r>
      <w:hyperlink r:id="rId8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(лист від 30.08.2024 №1.1/15776-24)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. Аби допомогти освітянам на початку року спланувати організацію освітнього процесу з урахуванням нововведень, ми підготували вибірковий огляд цього документа.</w:t>
      </w:r>
    </w:p>
    <w:p w14:paraId="1984C7A8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t>Засади організації освітнього процесу </w:t>
      </w:r>
    </w:p>
    <w:p w14:paraId="15EC309B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У 2024/2025 навчальному році освітній процес у закладах загальної середньої освіти організовується з дотриманням вимог</w:t>
      </w:r>
      <w:hyperlink r:id="rId9" w:anchor="Text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 Санітарного регламенту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та має бути спрямованим на реалізацію Державних стандартів:</w:t>
      </w:r>
    </w:p>
    <w:p w14:paraId="2111631B" w14:textId="77777777" w:rsidR="00285EA3" w:rsidRPr="00285EA3" w:rsidRDefault="00285EA3" w:rsidP="00285EA3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початкової освіти   (</w:t>
      </w:r>
      <w:hyperlink r:id="rId10" w:anchor="Text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Постанова КМУ від 21.02.2018  № 87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);</w:t>
      </w:r>
    </w:p>
    <w:p w14:paraId="3313D083" w14:textId="77777777" w:rsidR="00285EA3" w:rsidRPr="00285EA3" w:rsidRDefault="00285EA3" w:rsidP="00285EA3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базової середньої освіти </w:t>
      </w:r>
      <w:hyperlink r:id="rId11" w:anchor="n16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(Постанова КМУ від 30.09.2020 № 898 зі змінами)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;</w:t>
      </w:r>
    </w:p>
    <w:p w14:paraId="1A32F2EE" w14:textId="77777777" w:rsidR="00285EA3" w:rsidRPr="00285EA3" w:rsidRDefault="00285EA3" w:rsidP="00285EA3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базової та повної загальної середньої освіти </w:t>
      </w:r>
      <w:hyperlink r:id="rId12" w:anchor="Text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(Постанова   КМУ від 23.11.2011 № 1392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).</w:t>
      </w:r>
    </w:p>
    <w:p w14:paraId="2F9E56EC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Також заклади освіти мають врахувати досягнення впровадження реформи НУШ та подолання викликів, зумовлених особливостями освітнього процесу в умовах воєнного стану, зокрема і подолання освітніх втрат.</w:t>
      </w:r>
    </w:p>
    <w:p w14:paraId="687979FE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Слід звернути увагу, що 22.05.2024 сплив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п’ятирічний перехідний період для чинного Українського правопису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, затвердженого </w:t>
      </w:r>
      <w:hyperlink r:id="rId13" w:anchor="Text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постановою КМУ від 22.05.2029 № 437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. Тому в 2024/2025 навчальному році під час здійснення освітньої діяльності повне дотримання норм Українського правопису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є обов’язковим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.</w:t>
      </w:r>
    </w:p>
    <w:p w14:paraId="1749F272" w14:textId="77777777" w:rsidR="00285EA3" w:rsidRPr="00285EA3" w:rsidRDefault="00285EA3" w:rsidP="00285EA3">
      <w:pPr>
        <w:shd w:val="clear" w:color="auto" w:fill="F9F7F4"/>
        <w:spacing w:after="150" w:line="384" w:lineRule="atLeast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285E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uk-UA"/>
        </w:rPr>
        <w:t>Надання психологічної підтримки та безпека учасників освітнього процесу є пріоритетними напрямами діяльності закладів освіти. Тож запрошуємо вас 12.09.2024 долучитись до учасників </w:t>
      </w:r>
      <w:hyperlink r:id="rId14" w:tgtFrame="_blank" w:history="1">
        <w:r w:rsidRPr="00285EA3">
          <w:rPr>
            <w:rFonts w:ascii="Roboto" w:eastAsia="Times New Roman" w:hAnsi="Roboto" w:cs="Times New Roman"/>
            <w:i/>
            <w:iCs/>
            <w:color w:val="2979FF"/>
            <w:sz w:val="24"/>
            <w:szCs w:val="24"/>
            <w:lang w:eastAsia="uk-UA"/>
          </w:rPr>
          <w:t>Всеукраїнської інтернет-конференції</w:t>
        </w:r>
      </w:hyperlink>
      <w:r w:rsidRPr="00285E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uk-UA"/>
        </w:rPr>
        <w:t xml:space="preserve">, яка присвячена цій темі. Під час </w:t>
      </w:r>
      <w:proofErr w:type="spellStart"/>
      <w:r w:rsidRPr="00285E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uk-UA"/>
        </w:rPr>
        <w:t>етеру</w:t>
      </w:r>
      <w:proofErr w:type="spellEnd"/>
      <w:r w:rsidRPr="00285E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uk-UA"/>
        </w:rPr>
        <w:t xml:space="preserve"> ми обговоримо та проаналізуємо питання безпекової ситуації та організації психологічно комфортного освітнього простору, оскільки ці питання є напрочуд важливими в умовах війни і не тільки.</w:t>
      </w:r>
    </w:p>
    <w:p w14:paraId="0AE6CBD8" w14:textId="77777777" w:rsidR="00285EA3" w:rsidRPr="00285EA3" w:rsidRDefault="00285EA3" w:rsidP="00285EA3">
      <w:pPr>
        <w:shd w:val="clear" w:color="auto" w:fill="F9F7F4"/>
        <w:spacing w:line="384" w:lineRule="atLeast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285E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uk-UA"/>
        </w:rPr>
        <w:t>А під час </w:t>
      </w:r>
      <w:hyperlink r:id="rId15" w:tgtFrame="_blank" w:history="1">
        <w:r w:rsidRPr="00285EA3">
          <w:rPr>
            <w:rFonts w:ascii="Roboto" w:eastAsia="Times New Roman" w:hAnsi="Roboto" w:cs="Times New Roman"/>
            <w:i/>
            <w:iCs/>
            <w:color w:val="2979FF"/>
            <w:sz w:val="24"/>
            <w:szCs w:val="24"/>
            <w:lang w:eastAsia="uk-UA"/>
          </w:rPr>
          <w:t>дводенної Всеукраїнської інтернет-конференції «Інклюзивна освіта в НУШ: тенденції та інновації»</w:t>
        </w:r>
      </w:hyperlink>
      <w:r w:rsidRPr="00285E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uk-UA"/>
        </w:rPr>
        <w:t xml:space="preserve">, яка відбудеться 19.09.-20.09.2024, ми проаналізуємо досвід реалізації принципів інклюзивної освіти, обговоримо підходи педагогів-практиків і </w:t>
      </w:r>
      <w:r w:rsidRPr="00285E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uk-UA"/>
        </w:rPr>
        <w:lastRenderedPageBreak/>
        <w:t>рекомендації експертів, а також розглянемо перспективи розвитку інклюзії в сучасній системі освіти. </w:t>
      </w:r>
    </w:p>
    <w:p w14:paraId="5326DB6F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t>Діагностика результатів навчання та навчальних втрат</w:t>
      </w:r>
    </w:p>
    <w:p w14:paraId="14BD137C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Визначальне значення в навчанні має наступність, яка полягає в тому, що учень не лише переходить із класу в клас, а й в тому, що навчання наступного рівня логічно розгортається на основі попереднього.</w:t>
      </w:r>
    </w:p>
    <w:p w14:paraId="34A12D93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 урахуванням того, що у Держстандарті базової середньої освіти визначено вимоги до обов’язкових результатів навчання для адаптаційного циклу навчання (на кінець 6 класу) і для циклу базового предметного навчання (на кінець 9 класу), МОН рекомендує на початку 2024/2025 навчального року провести діагностування, націлене на виявлення рівня навчальних досягнень учнів: </w:t>
      </w:r>
    </w:p>
    <w:p w14:paraId="265E3CB7" w14:textId="77777777" w:rsidR="00285EA3" w:rsidRPr="00285EA3" w:rsidRDefault="00285EA3" w:rsidP="00285EA3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у 5 класі – визначених Держстандартом початкової освіти на рівні 4 класу; </w:t>
      </w:r>
    </w:p>
    <w:p w14:paraId="084C09EE" w14:textId="77777777" w:rsidR="00285EA3" w:rsidRPr="00285EA3" w:rsidRDefault="00285EA3" w:rsidP="00285EA3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у 7 класі – визначених Держстандартом базової середньої освіти на рівні 6 класу. </w:t>
      </w:r>
    </w:p>
    <w:p w14:paraId="6825B3F1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Це діагностування має прогностичний характер щодо рівня сформованості ключових та предметних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компетентностей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і, відповідно, подальшого планування роботи вчителя. </w:t>
      </w:r>
    </w:p>
    <w:p w14:paraId="09752582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Діагностика також важлива для планування роботи щодо виявлення і подолання навчальних втрат. Така робота умовно складається з 3 етапів:</w:t>
      </w:r>
    </w:p>
    <w:p w14:paraId="6E2C907D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І етап.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Виявлення навчальних втрат.</w:t>
      </w:r>
    </w:p>
    <w:p w14:paraId="3EB00851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ІІ етап.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Визначення ефективних стратегій щодо їх подолання та їх реалізація через різні активності учнів, які можуть включати:</w:t>
      </w:r>
    </w:p>
    <w:p w14:paraId="023BDD7A" w14:textId="77777777" w:rsidR="00285EA3" w:rsidRPr="00285EA3" w:rsidRDefault="00285EA3" w:rsidP="00285EA3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адаптацію навчальних програм і календарно-тематичного планування;</w:t>
      </w:r>
    </w:p>
    <w:p w14:paraId="4DAC40D3" w14:textId="77777777" w:rsidR="00285EA3" w:rsidRPr="00285EA3" w:rsidRDefault="00285EA3" w:rsidP="00285EA3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доступний виклад навчального матеріалу, наявність різних типів завдань, вправ на діяльне опанування підлітками навчального матеріалу; </w:t>
      </w:r>
    </w:p>
    <w:p w14:paraId="643FBEA3" w14:textId="77777777" w:rsidR="00285EA3" w:rsidRPr="00285EA3" w:rsidRDefault="00285EA3" w:rsidP="00285EA3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педагогічний інструментарій для стабілізації емоційного стану учнівства;</w:t>
      </w:r>
    </w:p>
    <w:p w14:paraId="7C8157D7" w14:textId="77777777" w:rsidR="00285EA3" w:rsidRPr="00285EA3" w:rsidRDefault="00285EA3" w:rsidP="00285EA3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впровадження диференційованого навчання та формувального оцінювання.</w:t>
      </w:r>
    </w:p>
    <w:p w14:paraId="0913D123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ІІІ етап.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Рефлексія результатів проведеної роботи.</w:t>
      </w:r>
    </w:p>
    <w:p w14:paraId="584AF345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Тож на початку 2024/2025 навчального року для діагностики навчальних втрат і розроблення стратегії щодо їх подолання МОН рекомендує провести діагностичне тестування. За його результатами слід запланувати відповідні заходи:</w:t>
      </w:r>
    </w:p>
    <w:p w14:paraId="4E6389D0" w14:textId="77777777" w:rsidR="00285EA3" w:rsidRPr="00285EA3" w:rsidRDefault="00285EA3" w:rsidP="00285EA3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lastRenderedPageBreak/>
        <w:t>якщо більшість класу не виявляє розуміння певних базових знань або не виявляє умінь, які мали бути опановані в попередній період навчання –  освітній процес потрібно спрямувати на опрацювання цього матеріалу  або організувати види діяльності, які формують певні вміння чи знання;</w:t>
      </w:r>
    </w:p>
    <w:p w14:paraId="5BAAD20B" w14:textId="77777777" w:rsidR="00285EA3" w:rsidRPr="00285EA3" w:rsidRDefault="00285EA3" w:rsidP="00285EA3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якщо певні освітні втрати наявні лише у групи учнів  – доцільно запроваджувати групові форми роботи з елементами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взаємонавчання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або організувати класи надолуження за рахунок навчальних годин для перерозподілу між освітніми компонентами. </w:t>
      </w:r>
    </w:p>
    <w:p w14:paraId="4348D5E6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t>Освітня програма та навчальний план</w:t>
      </w:r>
    </w:p>
    <w:p w14:paraId="5C42B397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Організація освітнього процесу здійснюється відповідно до освітніх програм, розроблених закладами освіти на основі </w:t>
      </w:r>
      <w:hyperlink r:id="rId16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Типових освітніх програм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.</w:t>
      </w:r>
    </w:p>
    <w:p w14:paraId="05F09C4C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5-7 класів і 8-х класів пілотних закладів освіти освітні програми складаються на основі оновленої  Типової освітньої програми для 5–9 класів закладів загальної середньої освіти </w:t>
      </w:r>
      <w:hyperlink r:id="rId17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(наказ МОН від 09.08.2024 №1120)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. </w:t>
      </w:r>
    </w:p>
    <w:p w14:paraId="7AA8CD6C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Нова редакція Типової освітньої програми містить такі новації:</w:t>
      </w:r>
    </w:p>
    <w:p w14:paraId="38DDA2D1" w14:textId="77777777" w:rsidR="00285EA3" w:rsidRPr="00285EA3" w:rsidRDefault="00285EA3" w:rsidP="00285EA3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розподіл навчального навантаження між освітніми галузями / освітніми компонентами здійснено на основі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мінімальної кількості годин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базового навчального плану;</w:t>
      </w:r>
    </w:p>
    <w:p w14:paraId="29BC0C0F" w14:textId="77777777" w:rsidR="00285EA3" w:rsidRPr="00285EA3" w:rsidRDefault="00285EA3" w:rsidP="00285EA3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визначено години, які можна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перерозподіляти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між різними освітніми галузями або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використовувати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для вибіркових освітніх компонентів (міжгалузевих інтегрованих курсів, вибіркових курсів) та для індивідуальної роботи, зокрема з подолання освітніх втрат. Ці години можна використовувати для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різних класів однієї паралелі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, збільшуючи кількість годин на ті освітні компоненти, які є пріоритетними в конкретному класі;</w:t>
      </w:r>
    </w:p>
    <w:p w14:paraId="2E277703" w14:textId="77777777" w:rsidR="00285EA3" w:rsidRPr="00285EA3" w:rsidRDefault="00285EA3" w:rsidP="00285EA3">
      <w:pPr>
        <w:numPr>
          <w:ilvl w:val="0"/>
          <w:numId w:val="5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збільшення годин на обов’язкові освітні компоненти здійснюють у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межах максимальної кількості годин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, визначеної для відповідної освітньої галузі в додатках до Типової освітньої програми.</w:t>
      </w:r>
    </w:p>
    <w:p w14:paraId="3B0D8695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Рішення про перерозподіл годин між освітніми галузями і навчальними предметами та/або інтегрованими курсами у межах освітньої галузі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ухвалює педагогічна рада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закладу освіти. Водночас МОН рекомендує:</w:t>
      </w:r>
    </w:p>
    <w:p w14:paraId="10F0C977" w14:textId="77777777" w:rsidR="00285EA3" w:rsidRPr="00285EA3" w:rsidRDefault="00285EA3" w:rsidP="00285EA3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вивчення освітніх компонентів громадянської та історичної освітньої галузі передбачити максимальну кількість годин (у 5 класі – 2 години на тиждень, у 6 та у 7 класі – 3 години на тиждень); </w:t>
      </w:r>
    </w:p>
    <w:p w14:paraId="006D8AB7" w14:textId="77777777" w:rsidR="00285EA3" w:rsidRPr="00285EA3" w:rsidRDefault="00285EA3" w:rsidP="00285EA3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lastRenderedPageBreak/>
        <w:t>навчальні предмети та курси з навчальним навантаженням 0,5 години на тиждень вивчати протягом одного семестру;</w:t>
      </w:r>
    </w:p>
    <w:p w14:paraId="056F2F9A" w14:textId="77777777" w:rsidR="00285EA3" w:rsidRPr="00285EA3" w:rsidRDefault="00285EA3" w:rsidP="00285EA3">
      <w:pPr>
        <w:numPr>
          <w:ilvl w:val="0"/>
          <w:numId w:val="6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запланувати вивчення навчального предмета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 «Громадянська освіта»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у 6–7 класах на ІІ семестр.</w:t>
      </w:r>
    </w:p>
    <w:p w14:paraId="1581E55D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реалізації певної освітньої галузі заклад освіти може включати в навчальний план:</w:t>
      </w:r>
    </w:p>
    <w:p w14:paraId="3348EB86" w14:textId="77777777" w:rsidR="00285EA3" w:rsidRPr="00285EA3" w:rsidRDefault="00285EA3" w:rsidP="00285EA3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лише окремі навчальні предмети або лише інтегровані курси;</w:t>
      </w:r>
    </w:p>
    <w:p w14:paraId="0F8039DF" w14:textId="77777777" w:rsidR="00285EA3" w:rsidRPr="00285EA3" w:rsidRDefault="00285EA3" w:rsidP="00285EA3">
      <w:pPr>
        <w:numPr>
          <w:ilvl w:val="0"/>
          <w:numId w:val="7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поєднувати навчальні предмети та інтегровані курси. </w:t>
      </w:r>
    </w:p>
    <w:p w14:paraId="4538E2EC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 рахунок годин навчального навантаження для перерозподілу обов’язкові освітні компоненти можуть бути доповнені відповідними міжгалузевими інтегрованими курсами та/або курсами за вибором, якщо їхні навчальні програми мають відповідні грифи МОН. Наприклад:</w:t>
      </w:r>
    </w:p>
    <w:p w14:paraId="32665971" w14:textId="77777777" w:rsidR="00285EA3" w:rsidRPr="00285EA3" w:rsidRDefault="00285EA3" w:rsidP="00285EA3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мовно-літературна освітня галузь: заклад освіти може вибрати вивчення другої іноземної мови; </w:t>
      </w:r>
    </w:p>
    <w:p w14:paraId="1B82187F" w14:textId="77777777" w:rsidR="00285EA3" w:rsidRPr="00285EA3" w:rsidRDefault="00285EA3" w:rsidP="00285EA3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соціальна і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здоровʼязбережувальна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освітня галузь: інтегрований курс  «Здоров'я, безпека та добробут» може бути доповнений одним із курсів соціального, емоційного та етичного спрямування («Етика», «Вчимося жити разом», «Культура добросусідства», «Духовність і мораль в житті людини і суспільства»); </w:t>
      </w:r>
    </w:p>
    <w:p w14:paraId="68F28ECF" w14:textId="77777777" w:rsidR="00285EA3" w:rsidRPr="00285EA3" w:rsidRDefault="00285EA3" w:rsidP="00285EA3">
      <w:pPr>
        <w:numPr>
          <w:ilvl w:val="0"/>
          <w:numId w:val="8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природнича освітня галузь: у 7-х класах навчальні предмети можуть бути доповнені інтегрованим курсом «Природничі науки» (2 години на тиждень).</w:t>
      </w:r>
    </w:p>
    <w:p w14:paraId="3C5D90C3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Кількість навчальних годин, визначених для вивчення вибіркових освітніх компонентів,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не зараховують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до максимального показника кількості годин, визначеного на ту чи ту освітню галузь.</w:t>
      </w:r>
    </w:p>
    <w:p w14:paraId="6C876274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Під час реалізації навчальної програми МОН рекомендує педагогам:</w:t>
      </w:r>
    </w:p>
    <w:p w14:paraId="20D8DF46" w14:textId="77777777" w:rsidR="00285EA3" w:rsidRPr="00285EA3" w:rsidRDefault="00285EA3" w:rsidP="00285EA3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надавати учням чіткі інструкції щодо очікуваних результатів навчання;</w:t>
      </w:r>
    </w:p>
    <w:p w14:paraId="3AFA3FE5" w14:textId="77777777" w:rsidR="00285EA3" w:rsidRPr="00285EA3" w:rsidRDefault="00285EA3" w:rsidP="00285EA3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застосовувати особистісно-орієнтований підхід, що може бути забезпечений вибором відповідних тем навчальних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проєктів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і ролей у груповій діяльності;</w:t>
      </w:r>
    </w:p>
    <w:p w14:paraId="2D720843" w14:textId="77777777" w:rsidR="00285EA3" w:rsidRPr="00285EA3" w:rsidRDefault="00285EA3" w:rsidP="00285EA3">
      <w:pPr>
        <w:numPr>
          <w:ilvl w:val="0"/>
          <w:numId w:val="9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добирати методичні прийоми з урахуванням вимог до обов'язкових результатів навчання, визначених у Держстандарті, та очікуваних результатів, визначених навчальною програмою.</w:t>
      </w:r>
    </w:p>
    <w:p w14:paraId="0AB3C48A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t>Модельні навчальні програми та навчальні програми</w:t>
      </w:r>
    </w:p>
    <w:p w14:paraId="2D879F93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lastRenderedPageBreak/>
        <w:t>Педагогічні працівники закладу освіти обирають модельні навчальні програми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на певний цикл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повної загальної середньої освіти і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не можуть змінювати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їх усередині циклу, зокрема при переході від 5-го до 6-го класу. Водночас, для класів, які розпочнуть навчання на тому самому циклі у наступних роках можуть бути обрані модельні навчальні програми інших авторських колективів. Різні класи однієї паралелі можуть навчатися за різними модельними навчальними програмами.</w:t>
      </w:r>
    </w:p>
    <w:p w14:paraId="4701A225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Слід звернути увагу, що перед початком 2024/2025 навчального року було змінено модельні навчальні програми таких навчальних предметів:</w:t>
      </w:r>
    </w:p>
    <w:p w14:paraId="24B633D2" w14:textId="77777777" w:rsidR="00285EA3" w:rsidRPr="00285EA3" w:rsidRDefault="00285EA3" w:rsidP="00285EA3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Фізична культура. Наказом МОН від 22.08.2024 №1185 скорочено строк дії грифа модельних навчальних програм з фізичної культури для 5–6 і 7–9 класів до 31.08.2024 та надано гриф модельній навчальній програмі «Фізична культура. 5–9 класи» (авт.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Баженков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Є. В., Бідний М. В.,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Ребрина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А. А.,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Данільченко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В. О.,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Коломоєць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Г. А., Дутчак М. В.);</w:t>
      </w:r>
    </w:p>
    <w:p w14:paraId="7CEEB29D" w14:textId="77777777" w:rsidR="00285EA3" w:rsidRPr="00285EA3" w:rsidRDefault="00285EA3" w:rsidP="00285EA3">
      <w:pPr>
        <w:numPr>
          <w:ilvl w:val="0"/>
          <w:numId w:val="10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«Захист України». Наказом  МОН від 08.08.2024 №1116 надано гриф модельній навчальній програмі  «Захист України. Інтегрований курс». Викладання за цією програмою реалізується в рамках Інноваційного освітнього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проєкту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на всеукраїнському рівні за темою «Теоретико-методичні засади викладання навчального предмета/інтегрованого курсу «Захист України».</w:t>
      </w:r>
    </w:p>
    <w:p w14:paraId="6C471B22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Педагогічний колектив закладу освіти може використовувати в освітньому процесі:</w:t>
      </w:r>
    </w:p>
    <w:p w14:paraId="7EE8C8FB" w14:textId="77777777" w:rsidR="00285EA3" w:rsidRPr="00285EA3" w:rsidRDefault="00285EA3" w:rsidP="00285EA3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модельні навчальні програми навчальних предметів (інтегрованих курсів) із зазначенням кількості годин, необхідної на провадження послідовності досягнення результатів навчання учнів, змісту та видів навчальної діяльності;</w:t>
      </w:r>
    </w:p>
    <w:p w14:paraId="43733919" w14:textId="77777777" w:rsidR="00285EA3" w:rsidRPr="00285EA3" w:rsidRDefault="00285EA3" w:rsidP="00285EA3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навчальні програми, розроблені авторами відповідних модельних навчальних програм; </w:t>
      </w:r>
    </w:p>
    <w:p w14:paraId="36624DEC" w14:textId="77777777" w:rsidR="00285EA3" w:rsidRPr="00285EA3" w:rsidRDefault="00285EA3" w:rsidP="00285EA3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навчальні програми, розроблені вчителями на основі модельних навчальних програм (однієї або декількох) й затверджені педагогічною радою закладу освіти;</w:t>
      </w:r>
    </w:p>
    <w:p w14:paraId="74542867" w14:textId="77777777" w:rsidR="00285EA3" w:rsidRPr="00285EA3" w:rsidRDefault="00285EA3" w:rsidP="00285EA3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навчальні програми, розроблені не на основі модельних навчальних програм, за умови, що вони отримали відповідний гриф Міністерства в установленому порядку;</w:t>
      </w:r>
    </w:p>
    <w:p w14:paraId="5B9EF72B" w14:textId="77777777" w:rsidR="00285EA3" w:rsidRPr="00285EA3" w:rsidRDefault="00285EA3" w:rsidP="00285EA3">
      <w:pPr>
        <w:numPr>
          <w:ilvl w:val="0"/>
          <w:numId w:val="11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навчальні програми курсів за вибором, які мають відповідний гриф і входять до Переліку навчальних програм, підручників та навчально-методичних посібників, рекомендованих МОН для використання у закладах загальної середньої освіти.</w:t>
      </w:r>
    </w:p>
    <w:p w14:paraId="7C7D2148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Перелік модельних навчальних програм, навчальних програм та програм курсів за вибором зазначають в освітній програмі закладу освіти. </w:t>
      </w:r>
    </w:p>
    <w:p w14:paraId="6772C03D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lastRenderedPageBreak/>
        <w:t>Навчальна література</w:t>
      </w:r>
    </w:p>
    <w:p w14:paraId="3845D261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Заклади загальної середньої освіти можуть використовувати в освітньому процесі лише ту навчальну літературу, що має грифи МОН («Рекомендовано Міністерством освіти і науки України», «Схвалено для використання в освітньому процесі») або висновок «Схвалено для використання в загальноосвітніх навчальних закладах».</w:t>
      </w:r>
    </w:p>
    <w:p w14:paraId="69A4B47E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Перелік навчальної літератури та навчальних програм, що мають відповідні грифи, постійно оновлюється і доступний </w:t>
      </w:r>
      <w:hyperlink r:id="rId18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 xml:space="preserve">на офіційному </w:t>
        </w:r>
        <w:proofErr w:type="spellStart"/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вебсайті</w:t>
        </w:r>
        <w:proofErr w:type="spellEnd"/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 xml:space="preserve"> ДНУ «ІМЗО»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. Слід звернути увагу, що у Переліку для окремих підручників та посібників зазначено декілька років надання висновку про гриф у зв’язку з зміною його строку дії або розгляду оновленого видання. Тож під час добору навчальної літератури в новому навчальному році потрібно врахувати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зміни та доповнення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деяких навчальних програм, які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не відображено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в підручниках та посібниках попередніх років видання. З огляду на зазначене, МОН рекомендує використовувати матеріали електронних версій підручників, які  розміщені в</w:t>
      </w:r>
      <w:hyperlink r:id="rId19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 xml:space="preserve"> електронній бібліотеці на </w:t>
        </w:r>
        <w:proofErr w:type="spellStart"/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вебсайті</w:t>
        </w:r>
        <w:proofErr w:type="spellEnd"/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 xml:space="preserve"> ДНУ «ІМЗО»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у вільному доступі.</w:t>
      </w:r>
    </w:p>
    <w:p w14:paraId="6EAD3D22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Вчитель може використовувати одразу кілька підручників з тих, що мають відповідний гриф МОН, і створювати додаткові навчальні матеріали, які відповідатимуть потребам освітньої програми закладу освіти. Обсяг пропонованих для опрацювання навчальних джерел має бути співвідносним із можливостями учнів виконати завдання впродовж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нормативно визначеного навчального часу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. Це потрібно враховувати також під час роботи з підручниками і навчальними посібниками, які містять цифровий контент. </w:t>
      </w:r>
    </w:p>
    <w:p w14:paraId="070F28C2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Використання навчальних посібників, зошитів з друкованою основою, що доповнюють зміст підручників, є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необов’язковим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і може використовуватись лише за умови дидактичної доцільності, дотримання вимог щодо уникнення перевантаження учнів і добровільної згоди усіх батьків класу на фінансове забезпечення.</w:t>
      </w:r>
    </w:p>
    <w:p w14:paraId="6B9B4110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t>Календарно-тематичне планування </w:t>
      </w:r>
    </w:p>
    <w:p w14:paraId="3E1BF18F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На основі модельної та/або навчальної програми, затвердженої педагогічною радою, вчитель складає календарно-тематичне планування з урахуванням навчальних можливостей учнів. Встановлення універсальних стандартів таких документів не передбачено законодавством, тож вчитель має право:</w:t>
      </w:r>
    </w:p>
    <w:p w14:paraId="510EC068" w14:textId="77777777" w:rsidR="00285EA3" w:rsidRPr="00285EA3" w:rsidRDefault="00285EA3" w:rsidP="00285EA3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складати календарно-тематичні плани та поурочні плани-конспекти у довільній формі, у тому числі з використанням друкованих чи електронних джерел;</w:t>
      </w:r>
    </w:p>
    <w:p w14:paraId="3DF83E3B" w14:textId="77777777" w:rsidR="00285EA3" w:rsidRPr="00285EA3" w:rsidRDefault="00285EA3" w:rsidP="00285EA3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об’єднанувати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його з навчальною програмою в один документ;</w:t>
      </w:r>
    </w:p>
    <w:p w14:paraId="77783F36" w14:textId="77777777" w:rsidR="00285EA3" w:rsidRPr="00285EA3" w:rsidRDefault="00285EA3" w:rsidP="00285EA3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самостійно визначати формат, обсяг, структуру, зміст та оформлення; </w:t>
      </w:r>
    </w:p>
    <w:p w14:paraId="5B1DFC64" w14:textId="77777777" w:rsidR="00285EA3" w:rsidRPr="00285EA3" w:rsidRDefault="00285EA3" w:rsidP="00285EA3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lastRenderedPageBreak/>
        <w:t>самостійно вибудовувати послідовність формування очікуваних результатів навчання, враховуючи послідовність розгортання змісту в навчальній програмі; </w:t>
      </w:r>
    </w:p>
    <w:p w14:paraId="2868793F" w14:textId="77777777" w:rsidR="00285EA3" w:rsidRPr="00285EA3" w:rsidRDefault="00285EA3" w:rsidP="00285EA3">
      <w:pPr>
        <w:numPr>
          <w:ilvl w:val="0"/>
          <w:numId w:val="12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впродовж навчального року робити зміни в календарно-тематичному плануванні, визначати кількість годин на вивчення окремих тем і змістових модулів, змінювати терміни опрацювання програмових тем відповідно до результатів засвоєння учнями навчального матеріалу. </w:t>
      </w:r>
    </w:p>
    <w:p w14:paraId="4B003576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t>Оцінювання результатів навчання</w:t>
      </w:r>
    </w:p>
    <w:p w14:paraId="620FC5F5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Обов’язкові результати навчання, визначені в Держстандарті, мають бути досягнуті протягом опанування навчального предмета чи інтегрованого курсу освітньої галузі. Тому надзвичайно важливого значення набуває розподіл конкретних освітніх результатів  у межах навчального року в 5, 6 та 7 класах. МОН рекомендує в календарно-тематичному плані визначити відповідність </w:t>
      </w:r>
      <w:r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кожного очікуваного результату</w:t>
      </w: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певній групі загальних результатів, якій необхідно досягти на уроці.</w:t>
      </w:r>
    </w:p>
    <w:p w14:paraId="122A3CE5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Відповідно до </w:t>
      </w:r>
      <w:hyperlink r:id="rId20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Рекомендацій щодо оцінювання результатів навчання здобувачів освіти відповідно до Державного стандарту базової середньої освіти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семестрове оцінювання передбачає оцінювання груп загальних результатів за критеріями, що наведені в Додатках 1 та 2 до Рекомендацій. На підставі оцінок за окремі групи результатів виставляють загальну оцінку результатів навчання за семестр й фіксують їх у класному журналі та свідоцтві досягнень. Річне оцінювання здійснюють на підставі загальних оцінок за перший і другий семестри.</w:t>
      </w:r>
    </w:p>
    <w:p w14:paraId="796EDE73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t>Організація освітнього процесу для учнів, які пропустили навчання або навчаються не за українськими освітніми програмами</w:t>
      </w:r>
    </w:p>
    <w:p w14:paraId="2D58EA00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Учням, які пропустили навчання або навчаються за кордоном не за українськими освітніми програмами тривалий період, рекомендовано організувати вивчення предметів українознавчого циклу за модифікованими програмами з української мови, української літератури, історії України, географії для закладів загальної середньої освіти (</w:t>
      </w:r>
      <w:hyperlink r:id="rId21" w:tgtFrame="_blank" w:history="1">
        <w:r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наказ МОН № 701 від 16.05.2024)</w:t>
        </w:r>
      </w:hyperlink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. Запропоновані програми можуть бути змінені педагогічними працівниками, а кількість навчальних годин, визначена в програмах, є орієнтовною. Також на основі програм заклад освіти може розробити власні навчальні програми та затвердити їх рішенням педагогічної ради. </w:t>
      </w:r>
    </w:p>
    <w:p w14:paraId="4715BE2B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lastRenderedPageBreak/>
        <w:t>Запропоновані модифіковані програми можна використовувати для навчання в класах надолуження освітніх втрат, під час організації таборів, будь-яких форматів додаткового навчання, а також у недільних школах.</w:t>
      </w:r>
    </w:p>
    <w:p w14:paraId="282D4BFE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t>Формування національно-патріотичної свідомості</w:t>
      </w:r>
    </w:p>
    <w:p w14:paraId="6CC916FA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 умовах воєнного стану посилюється важливість формування національно-патріотичної свідомості та активної громадянської компетентності в учнів. З цією метою МОН рекомендує використовувати в освітньому процесі:</w:t>
      </w:r>
    </w:p>
    <w:p w14:paraId="79836E80" w14:textId="77777777" w:rsidR="00285EA3" w:rsidRPr="00285EA3" w:rsidRDefault="00B62C50" w:rsidP="00285EA3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hyperlink r:id="rId22" w:tgtFrame="_blank" w:history="1">
        <w:r w:rsidR="00285EA3"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освітні матеріали,</w:t>
        </w:r>
      </w:hyperlink>
      <w:r w:rsidR="00285EA3"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розроблені Управлінням стратегічних комунікацій Генерального штабу Збройних Сил України; </w:t>
      </w:r>
    </w:p>
    <w:p w14:paraId="4233241A" w14:textId="77777777" w:rsidR="00285EA3" w:rsidRPr="00285EA3" w:rsidRDefault="00B62C50" w:rsidP="00285EA3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hyperlink r:id="rId23" w:tgtFrame="_blank" w:history="1">
        <w:r w:rsidR="00285EA3"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посібник «Як говорити про російсько-українську війну в школі? Уроки стійкості, боротьби та перемог»</w:t>
        </w:r>
      </w:hyperlink>
      <w:r w:rsidR="00285EA3"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, мета якого – сприяти формуванню громадянської позиції учнів та учениць, навчити розрізняти факти і фейки, не піддаватися маніпуляціям і ворожій пропаганді;</w:t>
      </w:r>
    </w:p>
    <w:p w14:paraId="3EFCE02C" w14:textId="77777777" w:rsidR="00285EA3" w:rsidRPr="00285EA3" w:rsidRDefault="00B62C50" w:rsidP="00285EA3">
      <w:pPr>
        <w:numPr>
          <w:ilvl w:val="0"/>
          <w:numId w:val="13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hyperlink r:id="rId24" w:tgtFrame="_blank" w:history="1">
        <w:r w:rsidR="00285EA3"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 xml:space="preserve">матеріали освітнього </w:t>
        </w:r>
        <w:proofErr w:type="spellStart"/>
        <w:r w:rsidR="00285EA3"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проєкту</w:t>
        </w:r>
        <w:proofErr w:type="spellEnd"/>
        <w:r w:rsidR="00285EA3"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 xml:space="preserve"> «</w:t>
        </w:r>
        <w:proofErr w:type="spellStart"/>
        <w:r w:rsidR="00285EA3"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ДіалогиПроВійну</w:t>
        </w:r>
        <w:proofErr w:type="spellEnd"/>
        <w:r w:rsidR="00285EA3"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»</w:t>
        </w:r>
      </w:hyperlink>
      <w:r w:rsidR="00285EA3"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, який містить чотири </w:t>
      </w:r>
      <w:proofErr w:type="spellStart"/>
      <w:r w:rsidR="00285EA3"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відеорозмови</w:t>
      </w:r>
      <w:proofErr w:type="spellEnd"/>
      <w:r w:rsidR="00285EA3"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учениці із ветеранами сучасної російсько-української війни на теми: «Що таке війна?», «Чому Росія прагне захопити Україну?», «Що таке сучасна російсько-українська війна?», «Повномасштабне вторгнення 2022» та методичні рекомендації для вчителів.</w:t>
      </w:r>
    </w:p>
    <w:p w14:paraId="0630D2F4" w14:textId="77777777" w:rsidR="00285EA3" w:rsidRPr="00285EA3" w:rsidRDefault="00B62C50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hyperlink r:id="rId25" w:tgtFrame="_blank" w:history="1">
        <w:r w:rsidR="00285EA3" w:rsidRPr="00285EA3">
          <w:rPr>
            <w:rFonts w:ascii="Roboto" w:eastAsia="Times New Roman" w:hAnsi="Roboto" w:cs="Times New Roman"/>
            <w:color w:val="2979FF"/>
            <w:sz w:val="26"/>
            <w:szCs w:val="26"/>
            <w:lang w:eastAsia="uk-UA"/>
          </w:rPr>
          <w:t>Наказом МОН від 30.07.2024 №1072 </w:t>
        </w:r>
      </w:hyperlink>
      <w:r w:rsidR="00285EA3"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затверджено Концептуальні засади реформування історичної освіти в системі загальної середньої освіти. Документ </w:t>
      </w:r>
      <w:r w:rsidR="00285EA3" w:rsidRPr="00285EA3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uk-UA"/>
        </w:rPr>
        <w:t>не вносить зміни</w:t>
      </w:r>
      <w:r w:rsidR="00285EA3"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 в чинні накази МОН, модельні навчальні програми, підручники тощо, проте окреслює напрям реформування навчання історії. Зміни, передбачені зазначеним документом, будуть поступовими, їм буде передувати підготовчий період для впровадження.</w:t>
      </w:r>
    </w:p>
    <w:p w14:paraId="1A197B63" w14:textId="77777777" w:rsidR="00285EA3" w:rsidRPr="00285EA3" w:rsidRDefault="00285EA3" w:rsidP="00285EA3">
      <w:pPr>
        <w:spacing w:before="375" w:after="188" w:line="240" w:lineRule="auto"/>
        <w:outlineLvl w:val="2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</w:pPr>
      <w:r w:rsidRPr="00285EA3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uk-UA"/>
        </w:rPr>
        <w:t>Формування екологічної компетентності</w:t>
      </w:r>
    </w:p>
    <w:p w14:paraId="5E9F46E6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Згідно з дорученням Прем’єр-міністра України Дениса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Шмигаля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від 21.05.2024 №16412/0/1-24 пріоритетним завданням 2024/2025 навчального року визначено проведення комунікаційної кампанії щодо важливості дотримання правил ощадливого споживання електроенергії, що передбачає розширення соціокультурного компонента змісту освіти питаннями, пов’язаними з енергоефективністю й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енергоетикетом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і відповідальним споживанням.</w:t>
      </w:r>
    </w:p>
    <w:p w14:paraId="1F6FDFC4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lastRenderedPageBreak/>
        <w:t xml:space="preserve">Для залучення в освітній процес навчальних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активностей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, спрямованих на формування екологічної компетентності, МОН рекомендує виокремити в навчальних програмах очікувані результати навчання, які розгортають цю ключову компетентність, і передбачити роботу щодо їх досягнення на уроках і під час позаурочної діяльності. Способами вирішення цього завдання можуть бути:</w:t>
      </w:r>
    </w:p>
    <w:p w14:paraId="21E81F7F" w14:textId="77777777" w:rsidR="00285EA3" w:rsidRPr="00285EA3" w:rsidRDefault="00285EA3" w:rsidP="00285EA3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навчальні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проєкти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спеціально розробленої тематики;</w:t>
      </w:r>
    </w:p>
    <w:p w14:paraId="610D14F0" w14:textId="77777777" w:rsidR="00285EA3" w:rsidRPr="00285EA3" w:rsidRDefault="00285EA3" w:rsidP="00285EA3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компетентнісно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орієнтовні завдання, які інтегрують зміст різних освітніх галузей;</w:t>
      </w:r>
    </w:p>
    <w:p w14:paraId="4DE9382B" w14:textId="77777777" w:rsidR="00285EA3" w:rsidRPr="00285EA3" w:rsidRDefault="00285EA3" w:rsidP="00285EA3">
      <w:pPr>
        <w:numPr>
          <w:ilvl w:val="0"/>
          <w:numId w:val="14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акції, конкурси тощо. </w:t>
      </w:r>
    </w:p>
    <w:p w14:paraId="071CA291" w14:textId="77777777" w:rsidR="00285EA3" w:rsidRPr="00285EA3" w:rsidRDefault="00285EA3" w:rsidP="00285EA3">
      <w:pPr>
        <w:spacing w:after="150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Для розроблення таких заходів МОН пропонує орієнтовний зміст навчальної діяльності, пов’язаної з енергозбереженням:</w:t>
      </w:r>
    </w:p>
    <w:p w14:paraId="70953917" w14:textId="77777777" w:rsidR="00285EA3" w:rsidRPr="00285EA3" w:rsidRDefault="00285EA3" w:rsidP="00285EA3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розповідати про джерела енергії, акцентувати увагу на реальних проблемах України, пов’язаних зі зменшенням виробництва енергії;</w:t>
      </w:r>
    </w:p>
    <w:p w14:paraId="27BC0BD6" w14:textId="77777777" w:rsidR="00285EA3" w:rsidRPr="00285EA3" w:rsidRDefault="00285EA3" w:rsidP="00285EA3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пояснювати на конкретних прикладах важливість і необхідність збереження теплової та електричної енергії у побуті;</w:t>
      </w:r>
    </w:p>
    <w:p w14:paraId="741EDA8B" w14:textId="77777777" w:rsidR="00285EA3" w:rsidRPr="00285EA3" w:rsidRDefault="00285EA3" w:rsidP="00285EA3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організовувати дослідження власних звичок, стилю життя, що пов’язано з користуванням електричними приладами;</w:t>
      </w:r>
    </w:p>
    <w:p w14:paraId="5EB3037A" w14:textId="77777777" w:rsidR="00285EA3" w:rsidRPr="00285EA3" w:rsidRDefault="00285EA3" w:rsidP="00285EA3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визначати доступні шляхи скорочення витрат енергії;</w:t>
      </w:r>
    </w:p>
    <w:p w14:paraId="14993843" w14:textId="77777777" w:rsidR="00285EA3" w:rsidRPr="00285EA3" w:rsidRDefault="00285EA3" w:rsidP="00285EA3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вчити виконувати прийнятні для себе і членів родини дії щодо скорочення витрат енергії;</w:t>
      </w:r>
    </w:p>
    <w:p w14:paraId="55102D1E" w14:textId="77777777" w:rsidR="00285EA3" w:rsidRPr="00285EA3" w:rsidRDefault="00285EA3" w:rsidP="00285EA3">
      <w:pPr>
        <w:numPr>
          <w:ilvl w:val="0"/>
          <w:numId w:val="15"/>
        </w:numPr>
        <w:spacing w:before="100" w:beforeAutospacing="1" w:after="100" w:afterAutospacing="1" w:line="384" w:lineRule="atLeast"/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</w:pPr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організовувати навчальні </w:t>
      </w:r>
      <w:proofErr w:type="spellStart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>проєкти</w:t>
      </w:r>
      <w:proofErr w:type="spellEnd"/>
      <w:r w:rsidRPr="00285EA3">
        <w:rPr>
          <w:rFonts w:ascii="Roboto" w:eastAsia="Times New Roman" w:hAnsi="Roboto" w:cs="Times New Roman"/>
          <w:color w:val="333333"/>
          <w:sz w:val="26"/>
          <w:szCs w:val="26"/>
          <w:lang w:eastAsia="uk-UA"/>
        </w:rPr>
        <w:t xml:space="preserve"> задля залучення інших до справи раціонального використання енергії.</w:t>
      </w:r>
    </w:p>
    <w:p w14:paraId="1008FC31" w14:textId="43BFA98F" w:rsidR="00285EA3" w:rsidRDefault="00285EA3"/>
    <w:p w14:paraId="2AD8B0E9" w14:textId="77777777" w:rsidR="00285EA3" w:rsidRDefault="00285EA3"/>
    <w:p w14:paraId="627B8ECA" w14:textId="77777777" w:rsidR="002A2B59" w:rsidRPr="002A2B59" w:rsidRDefault="002A2B59" w:rsidP="002A2B59">
      <w:pPr>
        <w:jc w:val="center"/>
      </w:pPr>
    </w:p>
    <w:sectPr w:rsidR="002A2B59" w:rsidRPr="002A2B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3A9"/>
    <w:multiLevelType w:val="multilevel"/>
    <w:tmpl w:val="F518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77E8"/>
    <w:multiLevelType w:val="multilevel"/>
    <w:tmpl w:val="AED6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C28F7"/>
    <w:multiLevelType w:val="multilevel"/>
    <w:tmpl w:val="729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43E56"/>
    <w:multiLevelType w:val="multilevel"/>
    <w:tmpl w:val="54B6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F24CE"/>
    <w:multiLevelType w:val="multilevel"/>
    <w:tmpl w:val="608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27F46"/>
    <w:multiLevelType w:val="multilevel"/>
    <w:tmpl w:val="E222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75322C"/>
    <w:multiLevelType w:val="multilevel"/>
    <w:tmpl w:val="E756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1141A"/>
    <w:multiLevelType w:val="multilevel"/>
    <w:tmpl w:val="A078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A1C91"/>
    <w:multiLevelType w:val="multilevel"/>
    <w:tmpl w:val="5A80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2333C"/>
    <w:multiLevelType w:val="multilevel"/>
    <w:tmpl w:val="7ACA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52CE4"/>
    <w:multiLevelType w:val="multilevel"/>
    <w:tmpl w:val="C980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40008"/>
    <w:multiLevelType w:val="multilevel"/>
    <w:tmpl w:val="AE28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366444"/>
    <w:multiLevelType w:val="multilevel"/>
    <w:tmpl w:val="A686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14BCC"/>
    <w:multiLevelType w:val="multilevel"/>
    <w:tmpl w:val="46D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C7E19"/>
    <w:multiLevelType w:val="multilevel"/>
    <w:tmpl w:val="9F2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4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FE"/>
    <w:rsid w:val="00285EA3"/>
    <w:rsid w:val="002A2B59"/>
    <w:rsid w:val="006F74FE"/>
    <w:rsid w:val="00A54874"/>
    <w:rsid w:val="00B62C50"/>
    <w:rsid w:val="00D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9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5E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657">
              <w:blockQuote w:val="1"/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uploads/public/66d/ffe/c4c/66dffec4c92d2958213439.pdf" TargetMode="External"/><Relationship Id="rId13" Type="http://schemas.openxmlformats.org/officeDocument/2006/relationships/hyperlink" Target="https://zakon.rada.gov.ua/laws/show/437-2019-%D0%BF" TargetMode="External"/><Relationship Id="rId18" Type="http://schemas.openxmlformats.org/officeDocument/2006/relationships/hyperlink" Target="https://imzo.gov.ua/pidruchniki/pereliki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on.gov.ua/npa/pro-zatverdzhennia-rekomendatsii-shchodo-vykorystannia-modyfikovanykh-prohram-z-ukrainskoi-movy-ukrainskoi-literatury-istorii-ukrainy-heohrafii-dlia-zakladiv-zahalnoi-serednoi-osvity" TargetMode="External"/><Relationship Id="rId7" Type="http://schemas.openxmlformats.org/officeDocument/2006/relationships/hyperlink" Target="https://mon.gov.ua/news/opublikovano-metodychni-rekomendatsii-shchodo-vykladannia-navchalnykh-predmetiv-intehrovanykh-kursiv-u-shkolakh" TargetMode="External"/><Relationship Id="rId12" Type="http://schemas.openxmlformats.org/officeDocument/2006/relationships/hyperlink" Target="https://zakon.rada.gov.ua/laws/show/1392-2011-%D0%BF" TargetMode="External"/><Relationship Id="rId17" Type="http://schemas.openxmlformats.org/officeDocument/2006/relationships/hyperlink" Target="https://mon.gov.ua/npa/pro-vnesennia-zmin-do-typovoi-osvitnoi-prohramy-dlia-5-9-klasiv-zakladiv-zahalnoi-serednoi-osvity" TargetMode="External"/><Relationship Id="rId25" Type="http://schemas.openxmlformats.org/officeDocument/2006/relationships/hyperlink" Target="https://mon.gov.ua/npa/pro-zatverdzhennia-kontseptualnykh-zasad-reformuvannia-istorychnoi-osvity-v-systemi-zahalnoi-serednoi-osv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osvita-2/zagalna-serednya-osvita/osvitni-programi/tipovi-osvitni-programi-2" TargetMode="External"/><Relationship Id="rId20" Type="http://schemas.openxmlformats.org/officeDocument/2006/relationships/hyperlink" Target="https://mon.gov.ua/npa/pro-zatverdzhennia-rekomendatsii-shchodo-otsiniuvannia-rezultativ-navchann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post/2024-2025-navchalniy-rik-rekomendaci-schodo-vikladannya-navchalnih-predmetiv" TargetMode="External"/><Relationship Id="rId11" Type="http://schemas.openxmlformats.org/officeDocument/2006/relationships/hyperlink" Target="https://zakon.rada.gov.ua/laws/show/898-2020-%D0%BF" TargetMode="External"/><Relationship Id="rId24" Type="http://schemas.openxmlformats.org/officeDocument/2006/relationships/hyperlink" Target="https://mcip.gov.ua/wp-content/uploads/2024/05/katalog_22_04-1-stysnuto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urok.com.ua/conference/incl-nus" TargetMode="External"/><Relationship Id="rId23" Type="http://schemas.openxmlformats.org/officeDocument/2006/relationships/hyperlink" Target="https://mon.gov.ua/ua/news/yak-govoriti-pro-rosijsko-ukrayinsku-vijnu-v-shkoli-mon-stvorilo-posibnik" TargetMode="External"/><Relationship Id="rId10" Type="http://schemas.openxmlformats.org/officeDocument/2006/relationships/hyperlink" Target="https://zakon.rada.gov.ua/laws/show/87-2018-%D0%BF" TargetMode="External"/><Relationship Id="rId19" Type="http://schemas.openxmlformats.org/officeDocument/2006/relationships/hyperlink" Target="https://lib.imzo.gov.ua/yelektronn-vers-pdruchnik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111-20" TargetMode="External"/><Relationship Id="rId14" Type="http://schemas.openxmlformats.org/officeDocument/2006/relationships/hyperlink" Target="https://naurok.com.ua/conference/safe" TargetMode="External"/><Relationship Id="rId22" Type="http://schemas.openxmlformats.org/officeDocument/2006/relationships/hyperlink" Target="https://www.youtube.com/playlist?list=PL_4iz-mihtWddrJAEkhh1f_FZbHJlFW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13200</Words>
  <Characters>7524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TPCUser</cp:lastModifiedBy>
  <cp:revision>2</cp:revision>
  <dcterms:created xsi:type="dcterms:W3CDTF">2024-11-27T10:39:00Z</dcterms:created>
  <dcterms:modified xsi:type="dcterms:W3CDTF">2024-11-27T10:39:00Z</dcterms:modified>
</cp:coreProperties>
</file>